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2DD1B" w14:textId="02F93089" w:rsidR="00765897" w:rsidRPr="00B26339" w:rsidRDefault="00765897" w:rsidP="00B26339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bookmarkStart w:id="0" w:name="page1"/>
      <w:r w:rsidRPr="00765897">
        <w:rPr>
          <w:rFonts w:ascii="Arial" w:eastAsia="SimSun" w:hAnsi="Arial" w:cs="Arial"/>
          <w:b/>
          <w:sz w:val="24"/>
          <w:szCs w:val="24"/>
        </w:rPr>
        <w:t>3GPP TSG-RAN WG4 Meeting</w:t>
      </w:r>
      <w:r w:rsidRPr="00765897">
        <w:rPr>
          <w:rFonts w:ascii="Arial" w:eastAsia="SimSun" w:hAnsi="Arial" w:cs="Arial" w:hint="eastAsia"/>
          <w:b/>
          <w:sz w:val="24"/>
          <w:szCs w:val="24"/>
        </w:rPr>
        <w:t xml:space="preserve"> #</w:t>
      </w:r>
      <w:r w:rsidRPr="00765897">
        <w:rPr>
          <w:rFonts w:ascii="Arial" w:eastAsia="SimSun" w:hAnsi="Arial" w:cs="Arial"/>
          <w:b/>
          <w:sz w:val="24"/>
          <w:szCs w:val="24"/>
        </w:rPr>
        <w:t>9</w:t>
      </w:r>
      <w:r w:rsidR="00B26339">
        <w:rPr>
          <w:rFonts w:ascii="Arial" w:eastAsia="SimSun" w:hAnsi="Arial" w:cs="Arial"/>
          <w:b/>
          <w:sz w:val="24"/>
          <w:szCs w:val="24"/>
        </w:rPr>
        <w:t>2</w:t>
      </w:r>
      <w:r w:rsidRPr="00765897">
        <w:rPr>
          <w:rFonts w:ascii="Arial" w:eastAsia="SimSun" w:hAnsi="Arial" w:cs="Arial"/>
          <w:sz w:val="24"/>
          <w:szCs w:val="24"/>
          <w:lang w:val="de-DE"/>
        </w:rPr>
        <w:tab/>
      </w:r>
      <w:r w:rsidR="00E818EE" w:rsidRPr="00E818EE">
        <w:rPr>
          <w:rFonts w:ascii="Arial" w:eastAsia="SimSun" w:hAnsi="Arial" w:cs="Arial"/>
          <w:b/>
          <w:sz w:val="24"/>
          <w:szCs w:val="24"/>
        </w:rPr>
        <w:t>R4-1909892</w:t>
      </w:r>
    </w:p>
    <w:p w14:paraId="2A705768" w14:textId="34B81035" w:rsidR="00334170" w:rsidRPr="00B26339" w:rsidRDefault="00B26339" w:rsidP="00334170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r w:rsidRPr="00B26339">
        <w:rPr>
          <w:rFonts w:ascii="Arial" w:eastAsia="SimSun" w:hAnsi="Arial" w:cs="Arial"/>
          <w:b/>
          <w:sz w:val="24"/>
          <w:szCs w:val="24"/>
        </w:rPr>
        <w:t>Ljubljana</w:t>
      </w:r>
      <w:r>
        <w:rPr>
          <w:rFonts w:ascii="Arial" w:eastAsia="SimSun" w:hAnsi="Arial" w:cs="Arial"/>
          <w:b/>
          <w:sz w:val="24"/>
          <w:szCs w:val="24"/>
        </w:rPr>
        <w:t xml:space="preserve">, </w:t>
      </w:r>
      <w:r w:rsidRPr="00B26339">
        <w:rPr>
          <w:rFonts w:ascii="Arial" w:eastAsia="SimSun" w:hAnsi="Arial" w:cs="Arial"/>
          <w:b/>
          <w:sz w:val="24"/>
          <w:szCs w:val="24"/>
        </w:rPr>
        <w:t>Slovenia</w:t>
      </w:r>
      <w:r>
        <w:rPr>
          <w:rFonts w:ascii="Arial" w:eastAsia="SimSun" w:hAnsi="Arial" w:cs="Arial"/>
          <w:b/>
          <w:sz w:val="24"/>
          <w:szCs w:val="24"/>
        </w:rPr>
        <w:t>, Aug. 26-30</w:t>
      </w:r>
      <w:r w:rsidRPr="00B26339">
        <w:rPr>
          <w:rFonts w:ascii="Arial" w:eastAsia="SimSun" w:hAnsi="Arial" w:cs="Arial"/>
          <w:b/>
          <w:sz w:val="24"/>
          <w:szCs w:val="24"/>
          <w:vertAlign w:val="superscript"/>
        </w:rPr>
        <w:t>th</w:t>
      </w:r>
    </w:p>
    <w:p w14:paraId="0E5AB96A" w14:textId="77777777" w:rsidR="00B26339" w:rsidRPr="00B5491F" w:rsidRDefault="00B26339" w:rsidP="00334170">
      <w:pPr>
        <w:tabs>
          <w:tab w:val="right" w:pos="9630"/>
        </w:tabs>
        <w:spacing w:after="0"/>
        <w:jc w:val="both"/>
        <w:rPr>
          <w:color w:val="000000" w:themeColor="text1"/>
          <w:lang w:eastAsia="ja-JP"/>
        </w:rPr>
      </w:pPr>
    </w:p>
    <w:p w14:paraId="32D5FF9B" w14:textId="4038ECBB" w:rsidR="00214859" w:rsidRPr="00D040B0" w:rsidRDefault="00214859" w:rsidP="001404E5">
      <w:pPr>
        <w:tabs>
          <w:tab w:val="left" w:pos="1860"/>
        </w:tabs>
        <w:jc w:val="both"/>
        <w:rPr>
          <w:rFonts w:ascii="Arial" w:hAnsi="Arial"/>
          <w:color w:val="000000" w:themeColor="text1"/>
          <w:sz w:val="24"/>
          <w:lang w:val="en-US"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Agenda item: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F63721">
        <w:rPr>
          <w:rFonts w:ascii="Arial" w:hAnsi="Arial"/>
          <w:color w:val="000000" w:themeColor="text1"/>
          <w:sz w:val="24"/>
          <w:lang w:val="en-US" w:eastAsia="ja-JP"/>
        </w:rPr>
        <w:t>9.17.1</w:t>
      </w:r>
    </w:p>
    <w:p w14:paraId="56BBBA72" w14:textId="77777777" w:rsidR="0081689A" w:rsidRPr="00D040B0" w:rsidRDefault="0081689A" w:rsidP="00DC39A9">
      <w:pPr>
        <w:tabs>
          <w:tab w:val="left" w:pos="1985"/>
        </w:tabs>
        <w:ind w:left="1136" w:hanging="1136"/>
        <w:rPr>
          <w:rFonts w:ascii="Arial" w:hAnsi="Arial"/>
          <w:color w:val="000000" w:themeColor="text1"/>
          <w:sz w:val="24"/>
          <w:lang w:val="en-US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 xml:space="preserve">Source: </w:t>
      </w:r>
      <w:r w:rsidRPr="00D040B0">
        <w:rPr>
          <w:rFonts w:ascii="Arial" w:hAnsi="Arial"/>
          <w:b/>
          <w:color w:val="000000" w:themeColor="text1"/>
          <w:sz w:val="24"/>
          <w:lang w:val="en-US"/>
        </w:rPr>
        <w:tab/>
      </w:r>
      <w:r w:rsidR="00642564" w:rsidRPr="00D040B0">
        <w:rPr>
          <w:rFonts w:ascii="Arial" w:hAnsi="Arial"/>
          <w:b/>
          <w:color w:val="000000" w:themeColor="text1"/>
          <w:sz w:val="24"/>
          <w:lang w:val="en-US"/>
        </w:rPr>
        <w:tab/>
      </w:r>
      <w:r w:rsidRPr="00D040B0">
        <w:rPr>
          <w:rFonts w:ascii="Arial" w:hAnsi="Arial" w:hint="eastAsia"/>
          <w:color w:val="000000" w:themeColor="text1"/>
          <w:sz w:val="24"/>
          <w:lang w:val="en-US" w:eastAsia="ja-JP"/>
        </w:rPr>
        <w:t>NTT DOCOMO, INC.</w:t>
      </w:r>
    </w:p>
    <w:p w14:paraId="7AEC78C8" w14:textId="7F45D72B" w:rsidR="00FA6851" w:rsidRPr="00D040B0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color w:val="000000" w:themeColor="text1"/>
          <w:sz w:val="24"/>
          <w:lang w:val="en-US"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Title:</w:t>
      </w:r>
      <w:r w:rsidRPr="00D040B0">
        <w:rPr>
          <w:rFonts w:ascii="Arial" w:hAnsi="Arial"/>
          <w:color w:val="000000" w:themeColor="text1"/>
          <w:sz w:val="24"/>
          <w:lang w:val="en-US"/>
        </w:rPr>
        <w:t xml:space="preserve"> 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E818EE" w:rsidRPr="00E818EE">
        <w:rPr>
          <w:rFonts w:ascii="Arial" w:hAnsi="Arial"/>
          <w:color w:val="000000" w:themeColor="text1"/>
          <w:sz w:val="24"/>
          <w:lang w:val="en-US" w:eastAsia="ja-JP"/>
        </w:rPr>
        <w:t>PDSCH demodulation requirement for new TDD pattern with 50% uplink</w:t>
      </w:r>
    </w:p>
    <w:p w14:paraId="5CE29AE6" w14:textId="756D151B" w:rsidR="0081689A" w:rsidRPr="00D040B0" w:rsidRDefault="0081689A" w:rsidP="0081689A">
      <w:pPr>
        <w:tabs>
          <w:tab w:val="left" w:pos="1985"/>
        </w:tabs>
        <w:ind w:left="1980" w:hanging="1980"/>
        <w:jc w:val="both"/>
        <w:rPr>
          <w:color w:val="000000" w:themeColor="text1"/>
          <w:lang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Document for: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A76F2F">
        <w:rPr>
          <w:rFonts w:ascii="Arial" w:hAnsi="Arial" w:hint="eastAsia"/>
          <w:color w:val="000000" w:themeColor="text1"/>
          <w:sz w:val="24"/>
          <w:lang w:val="en-US" w:eastAsia="ja-JP"/>
        </w:rPr>
        <w:t>Approval</w:t>
      </w:r>
    </w:p>
    <w:p w14:paraId="7C5D4856" w14:textId="77777777" w:rsidR="00906173" w:rsidRPr="00D040B0" w:rsidRDefault="009C628D" w:rsidP="0094000B">
      <w:pPr>
        <w:pStyle w:val="1"/>
        <w:rPr>
          <w:color w:val="000000" w:themeColor="text1"/>
        </w:rPr>
      </w:pPr>
      <w:r w:rsidRPr="00D040B0">
        <w:rPr>
          <w:rFonts w:hint="eastAsia"/>
          <w:color w:val="000000" w:themeColor="text1"/>
          <w:lang w:eastAsia="ja-JP"/>
        </w:rPr>
        <w:t xml:space="preserve">1. </w:t>
      </w:r>
      <w:r w:rsidR="00906173" w:rsidRPr="00D040B0">
        <w:rPr>
          <w:color w:val="000000" w:themeColor="text1"/>
        </w:rPr>
        <w:t>Introduction</w:t>
      </w:r>
    </w:p>
    <w:p w14:paraId="49CAFDA4" w14:textId="30DB8029" w:rsidR="00756E6E" w:rsidRPr="004B286C" w:rsidRDefault="00B20462" w:rsidP="004B286C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In this contribut</w:t>
      </w:r>
      <w:r w:rsidR="00ED0E1A">
        <w:rPr>
          <w:color w:val="000000" w:themeColor="text1"/>
          <w:lang w:eastAsia="ja-JP"/>
        </w:rPr>
        <w:t xml:space="preserve">ion, we propose to specify FR2 PDSCH demodulation requirement for 2nd priority TDD </w:t>
      </w:r>
      <w:r w:rsidR="00ED0E1A" w:rsidRPr="00ED0E1A">
        <w:rPr>
          <w:color w:val="000000" w:themeColor="text1"/>
          <w:lang w:eastAsia="ja-JP"/>
        </w:rPr>
        <w:t>pattern</w:t>
      </w:r>
      <w:r w:rsidR="00E818EE">
        <w:rPr>
          <w:color w:val="000000" w:themeColor="text1"/>
          <w:lang w:eastAsia="ja-JP"/>
        </w:rPr>
        <w:t xml:space="preserve">, which has </w:t>
      </w:r>
      <w:r w:rsidR="00E818EE" w:rsidRPr="00E818EE">
        <w:rPr>
          <w:color w:val="000000" w:themeColor="text1"/>
          <w:lang w:eastAsia="ja-JP"/>
        </w:rPr>
        <w:t>50% uplink</w:t>
      </w:r>
      <w:r w:rsidR="00E818EE">
        <w:rPr>
          <w:color w:val="000000" w:themeColor="text1"/>
          <w:lang w:eastAsia="ja-JP"/>
        </w:rPr>
        <w:t xml:space="preserve"> duty cycle.</w:t>
      </w:r>
      <w:bookmarkStart w:id="1" w:name="_GoBack"/>
      <w:bookmarkEnd w:id="1"/>
    </w:p>
    <w:p w14:paraId="055254F6" w14:textId="77777777" w:rsidR="00556E1D" w:rsidRPr="00D040B0" w:rsidRDefault="00556E1D">
      <w:pPr>
        <w:pStyle w:val="1"/>
        <w:rPr>
          <w:color w:val="000000" w:themeColor="text1"/>
        </w:rPr>
      </w:pPr>
      <w:r w:rsidRPr="00D040B0">
        <w:rPr>
          <w:rFonts w:hint="eastAsia"/>
          <w:color w:val="000000" w:themeColor="text1"/>
          <w:lang w:eastAsia="ja-JP"/>
        </w:rPr>
        <w:t xml:space="preserve">2. </w:t>
      </w:r>
      <w:r w:rsidR="00781288" w:rsidRPr="00D040B0">
        <w:rPr>
          <w:rFonts w:hint="eastAsia"/>
          <w:color w:val="000000" w:themeColor="text1"/>
          <w:lang w:eastAsia="ja-JP"/>
        </w:rPr>
        <w:t>Discussion</w:t>
      </w:r>
    </w:p>
    <w:p w14:paraId="6F5129E8" w14:textId="67FB6A2D" w:rsidR="00E37090" w:rsidRDefault="00E37090" w:rsidP="00ED0E1A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In</w:t>
      </w:r>
      <w:r w:rsidR="00ED0E1A">
        <w:rPr>
          <w:color w:val="000000" w:themeColor="text1"/>
          <w:lang w:eastAsia="ja-JP"/>
        </w:rPr>
        <w:t xml:space="preserve"> Rel-15 NR, some TDD </w:t>
      </w:r>
      <w:r w:rsidR="00ED0E1A" w:rsidRPr="00ED0E1A">
        <w:rPr>
          <w:color w:val="000000" w:themeColor="text1"/>
          <w:lang w:eastAsia="ja-JP"/>
        </w:rPr>
        <w:t>pattern</w:t>
      </w:r>
      <w:r w:rsidR="00ED0E1A">
        <w:rPr>
          <w:color w:val="000000" w:themeColor="text1"/>
          <w:lang w:eastAsia="ja-JP"/>
        </w:rPr>
        <w:t>s were proposed from operators as summarized in [1]. Originally, RAN4 agreed that all of listed TDD patterns are specified in demodulation part, but in the end all 1</w:t>
      </w:r>
      <w:r w:rsidR="00ED0E1A" w:rsidRPr="00ED0E1A">
        <w:rPr>
          <w:color w:val="000000" w:themeColor="text1"/>
          <w:vertAlign w:val="superscript"/>
          <w:lang w:eastAsia="ja-JP"/>
        </w:rPr>
        <w:t>st</w:t>
      </w:r>
      <w:r w:rsidR="00ED0E1A">
        <w:rPr>
          <w:color w:val="000000" w:themeColor="text1"/>
          <w:lang w:eastAsia="ja-JP"/>
        </w:rPr>
        <w:t xml:space="preserve"> priority TDD patterns in FR1/FR2 and some of 2</w:t>
      </w:r>
      <w:r w:rsidR="00ED0E1A" w:rsidRPr="00ED0E1A">
        <w:rPr>
          <w:color w:val="000000" w:themeColor="text1"/>
          <w:vertAlign w:val="superscript"/>
          <w:lang w:eastAsia="ja-JP"/>
        </w:rPr>
        <w:t>nd</w:t>
      </w:r>
      <w:r w:rsidR="00ED0E1A">
        <w:rPr>
          <w:color w:val="000000" w:themeColor="text1"/>
          <w:lang w:eastAsia="ja-JP"/>
        </w:rPr>
        <w:t xml:space="preserve"> priority patterns in FR1 were specified considering limited timeline for performance part [2].</w:t>
      </w:r>
    </w:p>
    <w:p w14:paraId="2AC33064" w14:textId="5532B574" w:rsidR="00ED0E1A" w:rsidRDefault="00ED0E1A" w:rsidP="00ED0E1A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In the last RAN meeting in June, we proposed to specify the remaining TDD pat</w:t>
      </w:r>
      <w:r w:rsidR="001D37E0">
        <w:rPr>
          <w:color w:val="000000" w:themeColor="text1"/>
          <w:lang w:eastAsia="ja-JP"/>
        </w:rPr>
        <w:t>tern</w:t>
      </w:r>
      <w:r>
        <w:rPr>
          <w:color w:val="000000" w:themeColor="text1"/>
          <w:lang w:eastAsia="ja-JP"/>
        </w:rPr>
        <w:t xml:space="preserve"> of FR2</w:t>
      </w:r>
      <w:r w:rsidR="001D37E0">
        <w:rPr>
          <w:color w:val="000000" w:themeColor="text1"/>
          <w:lang w:eastAsia="ja-JP"/>
        </w:rPr>
        <w:t xml:space="preserve"> in Rel-16 WI [3]</w:t>
      </w:r>
      <w:r>
        <w:rPr>
          <w:color w:val="000000" w:themeColor="text1"/>
          <w:lang w:eastAsia="ja-JP"/>
        </w:rPr>
        <w:t>, which is {DSUU} with 120kHz SCS</w:t>
      </w:r>
      <w:r w:rsidRPr="00ED0E1A">
        <w:rPr>
          <w:color w:val="000000" w:themeColor="text1"/>
          <w:lang w:eastAsia="ja-JP"/>
        </w:rPr>
        <w:t xml:space="preserve"> </w:t>
      </w:r>
      <w:r>
        <w:rPr>
          <w:color w:val="000000" w:themeColor="text1"/>
          <w:lang w:eastAsia="ja-JP"/>
        </w:rPr>
        <w:t xml:space="preserve">and </w:t>
      </w:r>
      <w:r w:rsidRPr="00ED0E1A">
        <w:rPr>
          <w:color w:val="000000" w:themeColor="text1"/>
          <w:lang w:eastAsia="ja-JP"/>
        </w:rPr>
        <w:t>S=12D:2G</w:t>
      </w:r>
      <w:r>
        <w:rPr>
          <w:color w:val="000000" w:themeColor="text1"/>
          <w:lang w:eastAsia="ja-JP"/>
        </w:rPr>
        <w:t>, but some venders have a concern on the number of TDD patterns and too large uplink duty cycle in FR2 (about 50%). Finally, the following agreement was made in [4]: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D0E1A" w14:paraId="0C17A045" w14:textId="77777777" w:rsidTr="00ED0E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1" w:type="dxa"/>
          </w:tcPr>
          <w:p w14:paraId="32B29D38" w14:textId="77777777" w:rsidR="00ED0E1A" w:rsidRPr="00ED0E1A" w:rsidRDefault="00ED0E1A" w:rsidP="00ED0E1A">
            <w:pPr>
              <w:rPr>
                <w:b w:val="0"/>
                <w:highlight w:val="green"/>
                <w:lang w:eastAsia="ja-JP" w:bidi="hi-IN"/>
              </w:rPr>
            </w:pPr>
            <w:r w:rsidRPr="00ED0E1A">
              <w:rPr>
                <w:b w:val="0"/>
                <w:highlight w:val="green"/>
                <w:lang w:eastAsia="ja-JP" w:bidi="hi-IN"/>
              </w:rPr>
              <w:t xml:space="preserve">Requirements for additional TDD configurations. As baseline, one additional TDD configuration </w:t>
            </w:r>
            <w:r w:rsidRPr="00ED0E1A">
              <w:rPr>
                <w:b w:val="0"/>
                <w:strike/>
                <w:highlight w:val="green"/>
                <w:lang w:eastAsia="ja-JP" w:bidi="hi-IN"/>
              </w:rPr>
              <w:t xml:space="preserve">each </w:t>
            </w:r>
            <w:r w:rsidRPr="00ED0E1A">
              <w:rPr>
                <w:b w:val="0"/>
                <w:highlight w:val="green"/>
                <w:lang w:eastAsia="ja-JP" w:bidi="hi-IN"/>
              </w:rPr>
              <w:t>for FR1 and FR2, respectively will be introduced. The exact TDD configuration is TBD by RAN4. Operators’ proposal in Rel-15 will be given high priority.</w:t>
            </w:r>
          </w:p>
          <w:p w14:paraId="4314B2AE" w14:textId="041195DE" w:rsidR="00ED0E1A" w:rsidRPr="00ED0E1A" w:rsidRDefault="00ED0E1A" w:rsidP="00ED0E1A">
            <w:pPr>
              <w:rPr>
                <w:rFonts w:ascii="Calibri" w:eastAsiaTheme="minorEastAsia" w:hAnsi="Calibri"/>
                <w:sz w:val="22"/>
                <w:szCs w:val="22"/>
                <w:highlight w:val="green"/>
                <w:lang w:eastAsia="ja-JP" w:bidi="hi-IN"/>
              </w:rPr>
            </w:pPr>
            <w:r w:rsidRPr="00ED0E1A">
              <w:rPr>
                <w:rFonts w:ascii="Calibri" w:eastAsia="SimSun" w:hAnsi="Calibri"/>
                <w:b w:val="0"/>
                <w:sz w:val="16"/>
                <w:szCs w:val="22"/>
                <w:highlight w:val="green"/>
                <w:lang w:eastAsia="ja-JP" w:bidi="hi-IN"/>
              </w:rPr>
              <w:t>- Impact to RF requirements shall be investigated for additional TDD configuration for FR2</w:t>
            </w:r>
          </w:p>
        </w:tc>
      </w:tr>
    </w:tbl>
    <w:p w14:paraId="1A0CE870" w14:textId="4A4082F0" w:rsidR="00ED0E1A" w:rsidRDefault="00ED0E1A" w:rsidP="00ED0E1A">
      <w:pPr>
        <w:jc w:val="both"/>
        <w:rPr>
          <w:color w:val="000000" w:themeColor="text1"/>
          <w:lang w:eastAsia="ja-JP"/>
        </w:rPr>
      </w:pPr>
    </w:p>
    <w:p w14:paraId="27EC0389" w14:textId="08396C3F" w:rsidR="00ED0E1A" w:rsidRDefault="00ED0E1A" w:rsidP="00ED0E1A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Based on this agreement, </w:t>
      </w:r>
      <w:r w:rsidR="001D37E0">
        <w:rPr>
          <w:color w:val="000000" w:themeColor="text1"/>
          <w:lang w:eastAsia="ja-JP"/>
        </w:rPr>
        <w:t xml:space="preserve">firstly </w:t>
      </w:r>
      <w:r>
        <w:rPr>
          <w:color w:val="000000" w:themeColor="text1"/>
          <w:lang w:eastAsia="ja-JP"/>
        </w:rPr>
        <w:t>we propose the followings</w:t>
      </w:r>
      <w:r w:rsidR="001D37E0">
        <w:rPr>
          <w:color w:val="000000" w:themeColor="text1"/>
          <w:lang w:eastAsia="ja-JP"/>
        </w:rPr>
        <w:t xml:space="preserve"> as exact TDD pattern</w:t>
      </w:r>
      <w:r>
        <w:rPr>
          <w:color w:val="000000" w:themeColor="text1"/>
          <w:lang w:eastAsia="ja-JP"/>
        </w:rPr>
        <w:t>:</w:t>
      </w:r>
    </w:p>
    <w:p w14:paraId="64C2BECF" w14:textId="7F0D04D9" w:rsidR="00ED0E1A" w:rsidRPr="00ED0E1A" w:rsidRDefault="00ED0E1A" w:rsidP="00ED0E1A">
      <w:pPr>
        <w:spacing w:after="0"/>
        <w:jc w:val="both"/>
        <w:rPr>
          <w:b/>
          <w:color w:val="000000" w:themeColor="text1"/>
          <w:lang w:eastAsia="ja-JP"/>
        </w:rPr>
      </w:pPr>
      <w:r w:rsidRPr="00ED0E1A">
        <w:rPr>
          <w:b/>
          <w:color w:val="000000" w:themeColor="text1"/>
          <w:lang w:eastAsia="ja-JP"/>
        </w:rPr>
        <w:t>Proposal 1: Specify a FR2 PDSCH demodulation requirement</w:t>
      </w:r>
      <w:r>
        <w:rPr>
          <w:b/>
          <w:color w:val="000000" w:themeColor="text1"/>
          <w:lang w:eastAsia="ja-JP"/>
        </w:rPr>
        <w:t xml:space="preserve"> for </w:t>
      </w:r>
      <w:r w:rsidRPr="00ED0E1A">
        <w:rPr>
          <w:b/>
          <w:color w:val="000000" w:themeColor="text1"/>
          <w:lang w:eastAsia="ja-JP"/>
        </w:rPr>
        <w:t xml:space="preserve">the TDD pattern </w:t>
      </w:r>
      <w:r>
        <w:rPr>
          <w:b/>
          <w:color w:val="000000" w:themeColor="text1"/>
          <w:lang w:eastAsia="ja-JP"/>
        </w:rPr>
        <w:t xml:space="preserve">{DSUU} with </w:t>
      </w:r>
      <w:r w:rsidRPr="00ED0E1A">
        <w:rPr>
          <w:b/>
          <w:color w:val="000000" w:themeColor="text1"/>
          <w:lang w:eastAsia="ja-JP"/>
        </w:rPr>
        <w:t>120kHz SCS and S=12D:2G.</w:t>
      </w:r>
    </w:p>
    <w:p w14:paraId="009A1A91" w14:textId="7207E44C" w:rsidR="00ED0E1A" w:rsidRDefault="00ED0E1A" w:rsidP="00ED0E1A">
      <w:pPr>
        <w:pStyle w:val="afb"/>
        <w:numPr>
          <w:ilvl w:val="0"/>
          <w:numId w:val="21"/>
        </w:numPr>
        <w:jc w:val="both"/>
        <w:rPr>
          <w:b/>
          <w:color w:val="000000" w:themeColor="text1"/>
          <w:lang w:eastAsia="ja-JP"/>
        </w:rPr>
      </w:pPr>
      <w:r w:rsidRPr="00ED0E1A">
        <w:rPr>
          <w:b/>
          <w:color w:val="000000" w:themeColor="text1"/>
          <w:lang w:eastAsia="ja-JP"/>
        </w:rPr>
        <w:t xml:space="preserve">Reuse </w:t>
      </w:r>
      <w:r>
        <w:rPr>
          <w:b/>
          <w:color w:val="000000" w:themeColor="text1"/>
          <w:lang w:eastAsia="ja-JP"/>
        </w:rPr>
        <w:t xml:space="preserve">existing </w:t>
      </w:r>
      <w:r w:rsidRPr="00ED0E1A">
        <w:rPr>
          <w:b/>
          <w:color w:val="000000" w:themeColor="text1"/>
          <w:lang w:eastAsia="ja-JP"/>
        </w:rPr>
        <w:t xml:space="preserve">test </w:t>
      </w:r>
      <w:r>
        <w:rPr>
          <w:b/>
          <w:color w:val="000000" w:themeColor="text1"/>
          <w:lang w:eastAsia="ja-JP"/>
        </w:rPr>
        <w:t>parameter</w:t>
      </w:r>
      <w:r w:rsidRPr="00ED0E1A">
        <w:rPr>
          <w:b/>
          <w:color w:val="000000" w:themeColor="text1"/>
          <w:lang w:eastAsia="ja-JP"/>
        </w:rPr>
        <w:t>s except TDD pattern (and related parameters)</w:t>
      </w:r>
      <w:r>
        <w:rPr>
          <w:b/>
          <w:color w:val="000000" w:themeColor="text1"/>
          <w:lang w:eastAsia="ja-JP"/>
        </w:rPr>
        <w:t>, e.</w:t>
      </w:r>
      <w:r w:rsidRPr="00ED0E1A">
        <w:rPr>
          <w:b/>
          <w:color w:val="000000" w:themeColor="text1"/>
          <w:lang w:eastAsia="ja-JP"/>
        </w:rPr>
        <w:t>g.,  test case 2-1 in Table 7.2.2.2.1-4</w:t>
      </w:r>
      <w:r>
        <w:rPr>
          <w:b/>
          <w:color w:val="000000" w:themeColor="text1"/>
          <w:lang w:eastAsia="ja-JP"/>
        </w:rPr>
        <w:t xml:space="preserve"> of TS38.101-4</w:t>
      </w:r>
    </w:p>
    <w:p w14:paraId="5F9288D4" w14:textId="44435C25" w:rsidR="006D1803" w:rsidRDefault="00ED0E1A" w:rsidP="006D1803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Note that above TDD pattern {DSUU} was proposed in Rel-15 NR [5</w:t>
      </w:r>
      <w:r w:rsidRPr="00ED0E1A">
        <w:rPr>
          <w:color w:val="000000" w:themeColor="text1"/>
          <w:lang w:eastAsia="ja-JP"/>
        </w:rPr>
        <w:t>]</w:t>
      </w:r>
      <w:r>
        <w:rPr>
          <w:color w:val="000000" w:themeColor="text1"/>
          <w:lang w:eastAsia="ja-JP"/>
        </w:rPr>
        <w:t>, thus this pattern should be prioritized over other new TDD patterns.</w:t>
      </w:r>
    </w:p>
    <w:p w14:paraId="05DD4FAB" w14:textId="1CCD3CC6" w:rsidR="001D37E0" w:rsidRDefault="00ED0E1A" w:rsidP="006D1803">
      <w:pPr>
        <w:jc w:val="both"/>
        <w:rPr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ja-JP"/>
        </w:rPr>
        <w:t xml:space="preserve">On the other side, </w:t>
      </w:r>
      <w:r w:rsidR="00B91F53">
        <w:rPr>
          <w:color w:val="000000" w:themeColor="text1"/>
          <w:lang w:eastAsia="ja-JP"/>
        </w:rPr>
        <w:t>this TDD patt</w:t>
      </w:r>
      <w:r w:rsidR="001D37E0">
        <w:rPr>
          <w:color w:val="000000" w:themeColor="text1"/>
          <w:lang w:eastAsia="ja-JP"/>
        </w:rPr>
        <w:t>ern has the largest uplink duty cycle among the proposed</w:t>
      </w:r>
      <w:r w:rsidR="00B91F53">
        <w:rPr>
          <w:color w:val="000000" w:themeColor="text1"/>
          <w:lang w:eastAsia="ja-JP"/>
        </w:rPr>
        <w:t xml:space="preserve"> TDD patterns</w:t>
      </w:r>
      <w:r w:rsidR="001D37E0">
        <w:rPr>
          <w:color w:val="000000" w:themeColor="text1"/>
          <w:lang w:eastAsia="ja-JP"/>
        </w:rPr>
        <w:t xml:space="preserve"> in FR2</w:t>
      </w:r>
      <w:r w:rsidR="00B91F53">
        <w:rPr>
          <w:color w:val="000000" w:themeColor="text1"/>
          <w:lang w:eastAsia="ja-JP"/>
        </w:rPr>
        <w:t>, thus the SAR/MPE aspect should be further discussed. In the UE RF session, t</w:t>
      </w:r>
      <w:r>
        <w:rPr>
          <w:color w:val="000000" w:themeColor="text1"/>
          <w:lang w:eastAsia="ja-JP"/>
        </w:rPr>
        <w:t>here was intensive di</w:t>
      </w:r>
      <w:r w:rsidR="00B91F53">
        <w:rPr>
          <w:color w:val="000000" w:themeColor="text1"/>
          <w:lang w:eastAsia="ja-JP"/>
        </w:rPr>
        <w:t>scussion on uplink duty cycle in</w:t>
      </w:r>
      <w:r>
        <w:rPr>
          <w:color w:val="000000" w:themeColor="text1"/>
          <w:lang w:eastAsia="ja-JP"/>
        </w:rPr>
        <w:t xml:space="preserve"> FR2, and the optional UE capability was introduced </w:t>
      </w:r>
      <w:r w:rsidR="00B91F53">
        <w:rPr>
          <w:color w:val="000000" w:themeColor="text1"/>
          <w:lang w:eastAsia="ja-JP"/>
        </w:rPr>
        <w:t>as follows</w:t>
      </w:r>
      <w:r w:rsidR="001D37E0">
        <w:rPr>
          <w:color w:val="000000" w:themeColor="text1"/>
          <w:lang w:eastAsia="ja-JP"/>
        </w:rPr>
        <w:t xml:space="preserve"> [6]</w:t>
      </w:r>
      <w:r>
        <w:rPr>
          <w:color w:val="000000" w:themeColor="text1"/>
          <w:lang w:eastAsia="ja-JP"/>
        </w:rPr>
        <w:t>.</w:t>
      </w:r>
      <w:r w:rsidR="001D37E0">
        <w:rPr>
          <w:color w:val="000000" w:themeColor="text1"/>
          <w:lang w:eastAsia="ja-JP"/>
        </w:rPr>
        <w:t xml:space="preserve"> </w:t>
      </w:r>
    </w:p>
    <w:tbl>
      <w:tblPr>
        <w:tblStyle w:val="afd"/>
        <w:tblW w:w="9630" w:type="dxa"/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D37E0" w:rsidRPr="00666F6D" w14:paraId="5BA00711" w14:textId="77777777" w:rsidTr="001D37E0">
        <w:tc>
          <w:tcPr>
            <w:tcW w:w="6917" w:type="dxa"/>
            <w:shd w:val="clear" w:color="auto" w:fill="BFBFBF" w:themeFill="background1" w:themeFillShade="BF"/>
          </w:tcPr>
          <w:p w14:paraId="5BA5CC46" w14:textId="43740573" w:rsidR="001D37E0" w:rsidRPr="001D37E0" w:rsidRDefault="001D37E0" w:rsidP="001D37E0">
            <w:pPr>
              <w:pStyle w:val="TAL"/>
              <w:rPr>
                <w:b/>
                <w:bCs/>
                <w:i/>
                <w:iCs/>
                <w:color w:val="000000" w:themeColor="text1"/>
              </w:rPr>
            </w:pPr>
            <w:r w:rsidRPr="001D37E0">
              <w:rPr>
                <w:rFonts w:cs="Arial"/>
                <w:b/>
                <w:color w:val="000000" w:themeColor="text1"/>
                <w:szCs w:val="18"/>
              </w:rPr>
              <w:t>Definitions for parameters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029A7033" w14:textId="5501DC33" w:rsidR="001D37E0" w:rsidRPr="001D37E0" w:rsidRDefault="001D37E0" w:rsidP="001D37E0">
            <w:pPr>
              <w:pStyle w:val="TAL"/>
              <w:jc w:val="center"/>
              <w:rPr>
                <w:b/>
                <w:bCs/>
                <w:iCs/>
                <w:color w:val="000000" w:themeColor="text1"/>
              </w:rPr>
            </w:pPr>
            <w:r w:rsidRPr="001D37E0">
              <w:rPr>
                <w:rFonts w:cs="Arial"/>
                <w:b/>
                <w:color w:val="000000" w:themeColor="text1"/>
                <w:szCs w:val="18"/>
              </w:rPr>
              <w:t>Per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14:paraId="79CF150A" w14:textId="43697F0C" w:rsidR="001D37E0" w:rsidRPr="001D37E0" w:rsidRDefault="001D37E0" w:rsidP="001D37E0">
            <w:pPr>
              <w:pStyle w:val="TAL"/>
              <w:jc w:val="center"/>
              <w:rPr>
                <w:b/>
                <w:bCs/>
                <w:iCs/>
                <w:color w:val="000000" w:themeColor="text1"/>
              </w:rPr>
            </w:pPr>
            <w:r w:rsidRPr="001D37E0">
              <w:rPr>
                <w:rFonts w:cs="Arial"/>
                <w:b/>
                <w:color w:val="000000" w:themeColor="text1"/>
                <w:szCs w:val="18"/>
              </w:rPr>
              <w:t>M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1867098A" w14:textId="413BC620" w:rsidR="001D37E0" w:rsidRPr="001D37E0" w:rsidRDefault="001D37E0" w:rsidP="001D37E0">
            <w:pPr>
              <w:pStyle w:val="TAL"/>
              <w:jc w:val="center"/>
              <w:rPr>
                <w:b/>
                <w:bCs/>
                <w:iCs/>
                <w:color w:val="000000" w:themeColor="text1"/>
              </w:rPr>
            </w:pPr>
            <w:r w:rsidRPr="001D37E0">
              <w:rPr>
                <w:rFonts w:cs="Arial"/>
                <w:b/>
                <w:color w:val="000000" w:themeColor="text1"/>
                <w:szCs w:val="18"/>
              </w:rPr>
              <w:t>FDD-TDD DIFF</w:t>
            </w:r>
          </w:p>
        </w:tc>
        <w:tc>
          <w:tcPr>
            <w:tcW w:w="728" w:type="dxa"/>
            <w:shd w:val="clear" w:color="auto" w:fill="BFBFBF" w:themeFill="background1" w:themeFillShade="BF"/>
          </w:tcPr>
          <w:p w14:paraId="43E5A2B6" w14:textId="2D2CA081" w:rsidR="001D37E0" w:rsidRPr="001D37E0" w:rsidRDefault="001D37E0" w:rsidP="001D37E0">
            <w:pPr>
              <w:pStyle w:val="TAL"/>
              <w:jc w:val="center"/>
              <w:rPr>
                <w:b/>
                <w:color w:val="000000" w:themeColor="text1"/>
              </w:rPr>
            </w:pPr>
            <w:r w:rsidRPr="001D37E0">
              <w:rPr>
                <w:rFonts w:cs="Arial"/>
                <w:b/>
                <w:color w:val="000000" w:themeColor="text1"/>
                <w:szCs w:val="18"/>
              </w:rPr>
              <w:t>FR1-FR2 DIFF</w:t>
            </w:r>
          </w:p>
        </w:tc>
      </w:tr>
      <w:tr w:rsidR="001D37E0" w:rsidRPr="00666F6D" w14:paraId="56C5492E" w14:textId="77777777" w:rsidTr="001D37E0">
        <w:tc>
          <w:tcPr>
            <w:tcW w:w="6917" w:type="dxa"/>
          </w:tcPr>
          <w:p w14:paraId="6425E0B1" w14:textId="77777777" w:rsidR="001D37E0" w:rsidRPr="00666F6D" w:rsidRDefault="001D37E0" w:rsidP="001D37E0">
            <w:pPr>
              <w:pStyle w:val="TAL"/>
              <w:rPr>
                <w:b/>
                <w:bCs/>
                <w:i/>
                <w:iCs/>
              </w:rPr>
            </w:pPr>
            <w:r w:rsidRPr="00666F6D">
              <w:rPr>
                <w:b/>
                <w:bCs/>
                <w:i/>
                <w:iCs/>
              </w:rPr>
              <w:t>maxUplinkDutyCycle-FR2</w:t>
            </w:r>
          </w:p>
          <w:p w14:paraId="1C29C1DE" w14:textId="77777777" w:rsidR="001D37E0" w:rsidRPr="00666F6D" w:rsidRDefault="001D37E0" w:rsidP="001D37E0">
            <w:pPr>
              <w:pStyle w:val="TAL"/>
              <w:rPr>
                <w:b/>
                <w:bCs/>
                <w:i/>
                <w:iCs/>
              </w:rPr>
            </w:pPr>
            <w:r w:rsidRPr="00666F6D">
              <w:rPr>
                <w:bCs/>
                <w:iCs/>
              </w:rPr>
              <w:t xml:space="preserve">Indicates the maximum percentage of symbols during 1s that can be scheduled for uplink transmission so as to ensure compliance with applicable electromagnetic </w:t>
            </w:r>
            <w:r w:rsidRPr="00666F6D">
              <w:t>power density exposure</w:t>
            </w:r>
            <w:r w:rsidRPr="00666F6D">
              <w:rPr>
                <w:bCs/>
                <w:iCs/>
              </w:rPr>
              <w:t xml:space="preserve"> requirements provided by regulatory bodies. This field is applicable for</w:t>
            </w:r>
            <w:r w:rsidRPr="00666F6D">
              <w:rPr>
                <w:bCs/>
                <w:iCs/>
                <w:lang w:eastAsia="zh-CN"/>
              </w:rPr>
              <w:t xml:space="preserve"> all power classes</w:t>
            </w:r>
            <w:r w:rsidRPr="00666F6D">
              <w:rPr>
                <w:bCs/>
                <w:iCs/>
              </w:rPr>
              <w:t xml:space="preserve"> UE</w:t>
            </w:r>
            <w:r w:rsidRPr="00666F6D">
              <w:rPr>
                <w:bCs/>
                <w:iCs/>
                <w:lang w:eastAsia="zh-CN"/>
              </w:rPr>
              <w:t xml:space="preserve"> in FR2</w:t>
            </w:r>
            <w:r w:rsidRPr="00666F6D">
              <w:rPr>
                <w:bCs/>
                <w:iCs/>
              </w:rPr>
              <w:t xml:space="preserve"> as specified in TS 38.101-2 [3]. Value n15 corresponds to 15%, value n20 corresponds to 20% and so on.</w:t>
            </w:r>
            <w:r w:rsidRPr="00666F6D">
              <w:rPr>
                <w:bCs/>
                <w:iCs/>
                <w:lang w:eastAsia="zh-CN"/>
              </w:rPr>
              <w:t xml:space="preserve"> If the field is absent or the percentage of uplink symbols transmitted within any 1s evaluation period is larger than </w:t>
            </w:r>
            <w:r w:rsidRPr="00666F6D">
              <w:rPr>
                <w:bCs/>
                <w:i/>
                <w:iCs/>
                <w:lang w:eastAsia="zh-CN"/>
              </w:rPr>
              <w:t>maxUplinkDutyCycle-FR2</w:t>
            </w:r>
            <w:r w:rsidRPr="00666F6D">
              <w:rPr>
                <w:bCs/>
                <w:iCs/>
                <w:lang w:eastAsia="zh-CN"/>
              </w:rPr>
              <w:t>, the UE behaviour is specified in TS 38.101-2 [3].</w:t>
            </w:r>
          </w:p>
        </w:tc>
        <w:tc>
          <w:tcPr>
            <w:tcW w:w="709" w:type="dxa"/>
          </w:tcPr>
          <w:p w14:paraId="08FF13C7" w14:textId="77777777" w:rsidR="001D37E0" w:rsidRPr="00666F6D" w:rsidRDefault="001D37E0" w:rsidP="001D37E0">
            <w:pPr>
              <w:pStyle w:val="TAL"/>
              <w:jc w:val="center"/>
              <w:rPr>
                <w:bCs/>
                <w:iCs/>
              </w:rPr>
            </w:pPr>
            <w:r w:rsidRPr="00666F6D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CA680A0" w14:textId="77777777" w:rsidR="001D37E0" w:rsidRPr="00666F6D" w:rsidRDefault="001D37E0" w:rsidP="001D37E0">
            <w:pPr>
              <w:pStyle w:val="TAL"/>
              <w:jc w:val="center"/>
              <w:rPr>
                <w:bCs/>
                <w:iCs/>
              </w:rPr>
            </w:pPr>
            <w:r w:rsidRPr="00666F6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5AA150F7" w14:textId="77777777" w:rsidR="001D37E0" w:rsidRPr="00666F6D" w:rsidRDefault="001D37E0" w:rsidP="001D37E0">
            <w:pPr>
              <w:pStyle w:val="TAL"/>
              <w:jc w:val="center"/>
              <w:rPr>
                <w:bCs/>
                <w:iCs/>
              </w:rPr>
            </w:pPr>
            <w:r w:rsidRPr="00666F6D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14:paraId="79AC0192" w14:textId="77777777" w:rsidR="001D37E0" w:rsidRPr="00666F6D" w:rsidRDefault="001D37E0" w:rsidP="001D37E0">
            <w:pPr>
              <w:pStyle w:val="TAL"/>
              <w:jc w:val="center"/>
            </w:pPr>
            <w:r w:rsidRPr="00666F6D">
              <w:t>FR2 only</w:t>
            </w:r>
          </w:p>
        </w:tc>
      </w:tr>
    </w:tbl>
    <w:p w14:paraId="20137577" w14:textId="6A5FF716" w:rsidR="001D37E0" w:rsidRDefault="001D37E0" w:rsidP="006D1803">
      <w:pPr>
        <w:jc w:val="both"/>
        <w:rPr>
          <w:color w:val="000000" w:themeColor="text1"/>
          <w:lang w:eastAsia="ja-JP"/>
        </w:rPr>
      </w:pPr>
    </w:p>
    <w:p w14:paraId="7E97023F" w14:textId="04061EB7" w:rsidR="001D37E0" w:rsidRDefault="001D37E0" w:rsidP="006D1803">
      <w:pPr>
        <w:jc w:val="both"/>
      </w:pPr>
      <w:r>
        <w:rPr>
          <w:rFonts w:hint="eastAsia"/>
          <w:color w:val="000000" w:themeColor="text1"/>
          <w:lang w:eastAsia="ja-JP"/>
        </w:rPr>
        <w:lastRenderedPageBreak/>
        <w:t xml:space="preserve">Note that the value range of this capability is </w:t>
      </w:r>
      <w:r w:rsidRPr="000E3724">
        <w:t>{15%, 20%, 25%, 30%, 40%,</w:t>
      </w:r>
      <w:r>
        <w:t xml:space="preserve"> 50%, 60%, 70%, 80%, 90%, 100%}, so the 50% is already included. If the actual uplink transmission ratio is larger than this capability, P-MPR can be applied </w:t>
      </w:r>
      <w:r w:rsidRPr="001D37E0">
        <w:t>to ensure compliance with applicable electromagnetic power density exposure requirements provided by regulatory bodies</w:t>
      </w:r>
      <w:r>
        <w:t xml:space="preserve">. If this capability is absent, such regulation shall be ensured by other means, e.g., by UE implantation [7]. Thus, from 3GPP perspective, the current specifications related to uplink duty cycle in FR2 is </w:t>
      </w:r>
      <w:r w:rsidR="001D2C84">
        <w:t>enough</w:t>
      </w:r>
      <w:r w:rsidR="004339B3">
        <w:t xml:space="preserve"> generic</w:t>
      </w:r>
      <w:r>
        <w:t>, and we consider that the new pattern {DSUU} has no impact on the UE RF requirements. In Rel-16 WI of FR2 RF requirements, improvement of the specifications related to P-MPR will be disc</w:t>
      </w:r>
      <w:r w:rsidR="004339B3">
        <w:t>ussed, but this work should be also e</w:t>
      </w:r>
      <w:r>
        <w:t>nough generic, i.e., it should not be optimized for a specific TDD pattern</w:t>
      </w:r>
      <w:r w:rsidR="001D2C84">
        <w:t>, e.g. 25%</w:t>
      </w:r>
      <w:r w:rsidR="004339B3">
        <w:t xml:space="preserve"> or 50%</w:t>
      </w:r>
      <w:r>
        <w:t>.</w:t>
      </w:r>
      <w:r w:rsidR="001D2C84">
        <w:t xml:space="preserve"> Also, if there is a certification issue for this TDD pattern, the exact issue should be further clarified. At least in some regions, usage of P-MPR is allowed in certification testing, so uplink transmission power can be reduced according to UL transmission ratio. For example, if a UE can satisfy MPE requirement in 25% uplink duty cycle, the UE can also pass the test with power reduction of 3dB in 50% uplink duty cycle.</w:t>
      </w:r>
    </w:p>
    <w:p w14:paraId="044DE6BC" w14:textId="52DE2AE4" w:rsidR="001D37E0" w:rsidRPr="001D37E0" w:rsidRDefault="001D37E0" w:rsidP="006D1803">
      <w:pPr>
        <w:jc w:val="both"/>
        <w:rPr>
          <w:b/>
          <w:color w:val="000000" w:themeColor="text1"/>
          <w:lang w:eastAsia="ja-JP"/>
        </w:rPr>
      </w:pPr>
      <w:r w:rsidRPr="001D37E0">
        <w:rPr>
          <w:b/>
        </w:rPr>
        <w:t>Observation 1: The new TDD pattern {DSUU} has no impact on the UE RF requirement</w:t>
      </w:r>
      <w:r w:rsidR="004339B3">
        <w:rPr>
          <w:b/>
        </w:rPr>
        <w:t>s of NR</w:t>
      </w:r>
      <w:r w:rsidRPr="001D37E0">
        <w:rPr>
          <w:b/>
        </w:rPr>
        <w:t>.</w:t>
      </w:r>
    </w:p>
    <w:p w14:paraId="19A57041" w14:textId="77777777" w:rsidR="006C674B" w:rsidRPr="00D040B0" w:rsidRDefault="00781288" w:rsidP="006C674B">
      <w:pPr>
        <w:pStyle w:val="1"/>
        <w:rPr>
          <w:color w:val="000000" w:themeColor="text1"/>
          <w:lang w:eastAsia="ja-JP"/>
        </w:rPr>
      </w:pPr>
      <w:r w:rsidRPr="00D040B0">
        <w:rPr>
          <w:rFonts w:hint="eastAsia"/>
          <w:color w:val="000000" w:themeColor="text1"/>
          <w:lang w:eastAsia="ja-JP"/>
        </w:rPr>
        <w:t>3</w:t>
      </w:r>
      <w:r w:rsidR="009C628D" w:rsidRPr="00D040B0">
        <w:rPr>
          <w:rFonts w:hint="eastAsia"/>
          <w:color w:val="000000" w:themeColor="text1"/>
          <w:lang w:eastAsia="ja-JP"/>
        </w:rPr>
        <w:t xml:space="preserve">. </w:t>
      </w:r>
      <w:r w:rsidR="00770473" w:rsidRPr="00D040B0">
        <w:rPr>
          <w:rFonts w:hint="eastAsia"/>
          <w:color w:val="000000" w:themeColor="text1"/>
          <w:lang w:eastAsia="ja-JP"/>
        </w:rPr>
        <w:t>Conclusion</w:t>
      </w:r>
    </w:p>
    <w:p w14:paraId="6E4CAED1" w14:textId="24425164" w:rsidR="00F019CE" w:rsidRDefault="00F23D70" w:rsidP="00A43EA9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In this contribution, </w:t>
      </w:r>
      <w:r w:rsidR="00E53D5F">
        <w:rPr>
          <w:color w:val="000000" w:themeColor="text1"/>
          <w:lang w:eastAsia="ja-JP"/>
        </w:rPr>
        <w:t xml:space="preserve">we </w:t>
      </w:r>
      <w:r w:rsidR="007021D1">
        <w:rPr>
          <w:color w:val="000000" w:themeColor="text1"/>
          <w:lang w:eastAsia="ja-JP"/>
        </w:rPr>
        <w:t>discuss</w:t>
      </w:r>
      <w:r w:rsidR="00E53D5F">
        <w:rPr>
          <w:color w:val="000000" w:themeColor="text1"/>
          <w:lang w:eastAsia="ja-JP"/>
        </w:rPr>
        <w:t>ed</w:t>
      </w:r>
      <w:r w:rsidR="007021D1">
        <w:rPr>
          <w:color w:val="000000" w:themeColor="text1"/>
          <w:lang w:eastAsia="ja-JP"/>
        </w:rPr>
        <w:t xml:space="preserve"> the</w:t>
      </w:r>
      <w:r w:rsidR="00D032B1">
        <w:rPr>
          <w:color w:val="000000" w:themeColor="text1"/>
          <w:lang w:eastAsia="ja-JP"/>
        </w:rPr>
        <w:t xml:space="preserve"> new TDD pattern in PDSCH demodulation requirement</w:t>
      </w:r>
      <w:r w:rsidR="007021D1">
        <w:rPr>
          <w:color w:val="000000" w:themeColor="text1"/>
          <w:lang w:eastAsia="ja-JP"/>
        </w:rPr>
        <w:t>.</w:t>
      </w:r>
      <w:r w:rsidR="0021469B">
        <w:rPr>
          <w:color w:val="000000" w:themeColor="text1"/>
          <w:lang w:eastAsia="ja-JP"/>
        </w:rPr>
        <w:t xml:space="preserve"> Our </w:t>
      </w:r>
      <w:r>
        <w:rPr>
          <w:color w:val="000000" w:themeColor="text1"/>
          <w:lang w:eastAsia="ja-JP"/>
        </w:rPr>
        <w:t>proposal</w:t>
      </w:r>
      <w:r w:rsidR="00D032B1">
        <w:rPr>
          <w:color w:val="000000" w:themeColor="text1"/>
          <w:lang w:eastAsia="ja-JP"/>
        </w:rPr>
        <w:t xml:space="preserve"> and observation</w:t>
      </w:r>
      <w:r>
        <w:rPr>
          <w:color w:val="000000" w:themeColor="text1"/>
          <w:lang w:eastAsia="ja-JP"/>
        </w:rPr>
        <w:t xml:space="preserve"> are summarized below.</w:t>
      </w:r>
    </w:p>
    <w:p w14:paraId="2C2839F9" w14:textId="77777777" w:rsidR="001D37E0" w:rsidRPr="00ED0E1A" w:rsidRDefault="001D37E0" w:rsidP="001D37E0">
      <w:pPr>
        <w:spacing w:after="0"/>
        <w:jc w:val="both"/>
        <w:rPr>
          <w:b/>
          <w:color w:val="000000" w:themeColor="text1"/>
          <w:lang w:eastAsia="ja-JP"/>
        </w:rPr>
      </w:pPr>
      <w:r w:rsidRPr="00ED0E1A">
        <w:rPr>
          <w:b/>
          <w:color w:val="000000" w:themeColor="text1"/>
          <w:lang w:eastAsia="ja-JP"/>
        </w:rPr>
        <w:t>Proposal 1: Specify a FR2 PDSCH demodulation requirement</w:t>
      </w:r>
      <w:r>
        <w:rPr>
          <w:b/>
          <w:color w:val="000000" w:themeColor="text1"/>
          <w:lang w:eastAsia="ja-JP"/>
        </w:rPr>
        <w:t xml:space="preserve"> for </w:t>
      </w:r>
      <w:r w:rsidRPr="00ED0E1A">
        <w:rPr>
          <w:b/>
          <w:color w:val="000000" w:themeColor="text1"/>
          <w:lang w:eastAsia="ja-JP"/>
        </w:rPr>
        <w:t xml:space="preserve">the TDD pattern </w:t>
      </w:r>
      <w:r>
        <w:rPr>
          <w:b/>
          <w:color w:val="000000" w:themeColor="text1"/>
          <w:lang w:eastAsia="ja-JP"/>
        </w:rPr>
        <w:t xml:space="preserve">{DSUU} with </w:t>
      </w:r>
      <w:r w:rsidRPr="00ED0E1A">
        <w:rPr>
          <w:b/>
          <w:color w:val="000000" w:themeColor="text1"/>
          <w:lang w:eastAsia="ja-JP"/>
        </w:rPr>
        <w:t>120kHz SCS and S=12D:2G.</w:t>
      </w:r>
    </w:p>
    <w:p w14:paraId="63D799E7" w14:textId="51B59D73" w:rsidR="001D37E0" w:rsidRPr="001D37E0" w:rsidRDefault="001D37E0" w:rsidP="001D37E0">
      <w:pPr>
        <w:pStyle w:val="afb"/>
        <w:numPr>
          <w:ilvl w:val="0"/>
          <w:numId w:val="21"/>
        </w:numPr>
        <w:jc w:val="both"/>
        <w:rPr>
          <w:b/>
          <w:color w:val="000000" w:themeColor="text1"/>
          <w:lang w:eastAsia="ja-JP"/>
        </w:rPr>
      </w:pPr>
      <w:r w:rsidRPr="00ED0E1A">
        <w:rPr>
          <w:b/>
          <w:color w:val="000000" w:themeColor="text1"/>
          <w:lang w:eastAsia="ja-JP"/>
        </w:rPr>
        <w:t xml:space="preserve">Reuse </w:t>
      </w:r>
      <w:r>
        <w:rPr>
          <w:b/>
          <w:color w:val="000000" w:themeColor="text1"/>
          <w:lang w:eastAsia="ja-JP"/>
        </w:rPr>
        <w:t xml:space="preserve">existing </w:t>
      </w:r>
      <w:r w:rsidRPr="00ED0E1A">
        <w:rPr>
          <w:b/>
          <w:color w:val="000000" w:themeColor="text1"/>
          <w:lang w:eastAsia="ja-JP"/>
        </w:rPr>
        <w:t xml:space="preserve">test </w:t>
      </w:r>
      <w:r>
        <w:rPr>
          <w:b/>
          <w:color w:val="000000" w:themeColor="text1"/>
          <w:lang w:eastAsia="ja-JP"/>
        </w:rPr>
        <w:t>parameter</w:t>
      </w:r>
      <w:r w:rsidRPr="00ED0E1A">
        <w:rPr>
          <w:b/>
          <w:color w:val="000000" w:themeColor="text1"/>
          <w:lang w:eastAsia="ja-JP"/>
        </w:rPr>
        <w:t>s except TDD pattern (and related parameters)</w:t>
      </w:r>
      <w:r>
        <w:rPr>
          <w:b/>
          <w:color w:val="000000" w:themeColor="text1"/>
          <w:lang w:eastAsia="ja-JP"/>
        </w:rPr>
        <w:t>, e.</w:t>
      </w:r>
      <w:r w:rsidRPr="00ED0E1A">
        <w:rPr>
          <w:b/>
          <w:color w:val="000000" w:themeColor="text1"/>
          <w:lang w:eastAsia="ja-JP"/>
        </w:rPr>
        <w:t>g.,  test case 2-1 in Table 7.2.2.2.1-4</w:t>
      </w:r>
      <w:r>
        <w:rPr>
          <w:b/>
          <w:color w:val="000000" w:themeColor="text1"/>
          <w:lang w:eastAsia="ja-JP"/>
        </w:rPr>
        <w:t xml:space="preserve"> of TS38.101-4</w:t>
      </w:r>
    </w:p>
    <w:p w14:paraId="75A561AC" w14:textId="648B3A07" w:rsidR="001D37E0" w:rsidRPr="001D37E0" w:rsidRDefault="004339B3" w:rsidP="001D37E0">
      <w:pPr>
        <w:jc w:val="both"/>
        <w:rPr>
          <w:b/>
          <w:color w:val="000000" w:themeColor="text1"/>
          <w:lang w:eastAsia="ja-JP"/>
        </w:rPr>
      </w:pPr>
      <w:r w:rsidRPr="004339B3">
        <w:rPr>
          <w:b/>
        </w:rPr>
        <w:t>Observation 1: The new TDD pattern {DSUU} has no impact on the UE RF requirements of</w:t>
      </w:r>
      <w:r w:rsidR="00722669">
        <w:rPr>
          <w:b/>
        </w:rPr>
        <w:t xml:space="preserve"> </w:t>
      </w:r>
      <w:r w:rsidRPr="004339B3">
        <w:rPr>
          <w:b/>
        </w:rPr>
        <w:t>NR.</w:t>
      </w:r>
    </w:p>
    <w:p w14:paraId="2BA5B1AC" w14:textId="77777777" w:rsidR="009D1BE4" w:rsidRPr="00D040B0" w:rsidRDefault="009D1BE4" w:rsidP="009D1BE4">
      <w:pPr>
        <w:pStyle w:val="1"/>
        <w:rPr>
          <w:color w:val="000000" w:themeColor="text1"/>
          <w:lang w:eastAsia="ja-JP"/>
        </w:rPr>
      </w:pPr>
      <w:r w:rsidRPr="00D040B0">
        <w:rPr>
          <w:rFonts w:hint="eastAsia"/>
          <w:color w:val="000000" w:themeColor="text1"/>
          <w:lang w:eastAsia="ja-JP"/>
        </w:rPr>
        <w:t>References</w:t>
      </w:r>
    </w:p>
    <w:bookmarkEnd w:id="0"/>
    <w:p w14:paraId="5FBCF8B6" w14:textId="4D5DB1DE" w:rsidR="00ED0E1A" w:rsidRDefault="00ED0E1A" w:rsidP="00ED0E1A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 w:rsidRPr="001676FC">
        <w:rPr>
          <w:color w:val="000000" w:themeColor="text1"/>
          <w:lang w:eastAsia="ja-JP"/>
        </w:rPr>
        <w:t>R4-1809555</w:t>
      </w:r>
      <w:r>
        <w:rPr>
          <w:color w:val="000000" w:themeColor="text1"/>
          <w:lang w:eastAsia="ja-JP"/>
        </w:rPr>
        <w:t xml:space="preserve">, </w:t>
      </w:r>
      <w:r w:rsidRPr="001676FC">
        <w:rPr>
          <w:color w:val="000000" w:themeColor="text1"/>
          <w:lang w:eastAsia="ja-JP"/>
        </w:rPr>
        <w:t>Summary of operators’ input for TDD DL-UL configuration</w:t>
      </w:r>
      <w:r>
        <w:rPr>
          <w:color w:val="000000" w:themeColor="text1"/>
          <w:lang w:eastAsia="ja-JP"/>
        </w:rPr>
        <w:t>, RAN4</w:t>
      </w:r>
      <w:r w:rsidRPr="001676FC">
        <w:rPr>
          <w:color w:val="000000" w:themeColor="text1"/>
          <w:lang w:eastAsia="ja-JP"/>
        </w:rPr>
        <w:t xml:space="preserve"> #AH</w:t>
      </w:r>
      <w:r>
        <w:rPr>
          <w:color w:val="000000" w:themeColor="text1"/>
          <w:lang w:eastAsia="ja-JP"/>
        </w:rPr>
        <w:t>-</w:t>
      </w:r>
      <w:r w:rsidRPr="001676FC">
        <w:rPr>
          <w:color w:val="000000" w:themeColor="text1"/>
          <w:lang w:eastAsia="ja-JP"/>
        </w:rPr>
        <w:t>1807</w:t>
      </w:r>
    </w:p>
    <w:p w14:paraId="1E7D7934" w14:textId="658917F1" w:rsidR="00ED0E1A" w:rsidRDefault="00ED0E1A" w:rsidP="00ED0E1A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TS38.101-4, V15.2.0</w:t>
      </w:r>
    </w:p>
    <w:p w14:paraId="118A6295" w14:textId="3E9B282A" w:rsidR="00B91F53" w:rsidRDefault="00B91F53" w:rsidP="00B91F53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 w:rsidRPr="00B91F53">
        <w:rPr>
          <w:color w:val="000000" w:themeColor="text1"/>
          <w:lang w:eastAsia="ja-JP"/>
        </w:rPr>
        <w:t>RP-191025</w:t>
      </w:r>
      <w:r>
        <w:rPr>
          <w:color w:val="000000" w:themeColor="text1"/>
          <w:lang w:eastAsia="ja-JP"/>
        </w:rPr>
        <w:t xml:space="preserve">, </w:t>
      </w:r>
      <w:r w:rsidRPr="00233FFB">
        <w:rPr>
          <w:sz w:val="22"/>
        </w:rPr>
        <w:t>Email discussion summary of RAN4</w:t>
      </w:r>
      <w:r>
        <w:rPr>
          <w:sz w:val="22"/>
        </w:rPr>
        <w:t xml:space="preserve"> </w:t>
      </w:r>
      <w:r w:rsidRPr="00233FFB">
        <w:rPr>
          <w:sz w:val="22"/>
        </w:rPr>
        <w:t xml:space="preserve">NR Rel-16 </w:t>
      </w:r>
      <w:r>
        <w:rPr>
          <w:sz w:val="22"/>
        </w:rPr>
        <w:t>BS and UE demodulation, RAN#84</w:t>
      </w:r>
    </w:p>
    <w:p w14:paraId="70640E1D" w14:textId="032730DE" w:rsidR="00ED0E1A" w:rsidRDefault="00ED0E1A" w:rsidP="00ED0E1A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 w:rsidRPr="00ED0E1A">
        <w:rPr>
          <w:color w:val="000000" w:themeColor="text1"/>
          <w:lang w:eastAsia="ja-JP"/>
        </w:rPr>
        <w:t>RP-191027</w:t>
      </w:r>
      <w:r>
        <w:rPr>
          <w:color w:val="000000" w:themeColor="text1"/>
          <w:lang w:eastAsia="ja-JP"/>
        </w:rPr>
        <w:t xml:space="preserve">, </w:t>
      </w:r>
      <w:r w:rsidRPr="00ED0E1A">
        <w:rPr>
          <w:color w:val="000000" w:themeColor="text1"/>
          <w:lang w:eastAsia="ja-JP"/>
        </w:rPr>
        <w:t>WF for Rel-16 RAN4 RRM, Demod, HST and URLLC scope</w:t>
      </w:r>
      <w:r>
        <w:rPr>
          <w:color w:val="000000" w:themeColor="text1"/>
          <w:lang w:eastAsia="ja-JP"/>
        </w:rPr>
        <w:t>, RAN#84</w:t>
      </w:r>
    </w:p>
    <w:p w14:paraId="57687215" w14:textId="4E56BB80" w:rsidR="00ED0E1A" w:rsidRDefault="00ED0E1A" w:rsidP="00ED0E1A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 w:rsidRPr="00ED0E1A">
        <w:rPr>
          <w:color w:val="000000" w:themeColor="text1"/>
          <w:lang w:eastAsia="ja-JP"/>
        </w:rPr>
        <w:t>R4-1904754</w:t>
      </w:r>
      <w:r>
        <w:rPr>
          <w:color w:val="000000" w:themeColor="text1"/>
          <w:lang w:eastAsia="ja-JP"/>
        </w:rPr>
        <w:t xml:space="preserve">, </w:t>
      </w:r>
      <w:r w:rsidRPr="00ED0E1A">
        <w:rPr>
          <w:color w:val="000000" w:themeColor="text1"/>
          <w:lang w:eastAsia="ja-JP"/>
        </w:rPr>
        <w:t>Way forward on NR UE PDSCH demodulation requirements and General aspects</w:t>
      </w:r>
      <w:r>
        <w:rPr>
          <w:color w:val="000000" w:themeColor="text1"/>
          <w:lang w:eastAsia="ja-JP"/>
        </w:rPr>
        <w:t>, RAN4 #90bis</w:t>
      </w:r>
    </w:p>
    <w:p w14:paraId="7262AB68" w14:textId="02750258" w:rsidR="00ED0E1A" w:rsidRDefault="001D37E0" w:rsidP="00ED0E1A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ja-JP"/>
        </w:rPr>
        <w:t>T</w:t>
      </w:r>
      <w:r>
        <w:rPr>
          <w:color w:val="000000" w:themeColor="text1"/>
          <w:lang w:eastAsia="ja-JP"/>
        </w:rPr>
        <w:t>S38.306, V15.6.0</w:t>
      </w:r>
    </w:p>
    <w:p w14:paraId="73A67E79" w14:textId="603DAC53" w:rsidR="00E13CD6" w:rsidRPr="00B02EE4" w:rsidRDefault="001D37E0" w:rsidP="00A53618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TS38.101-2, V15.6.0</w:t>
      </w:r>
    </w:p>
    <w:sectPr w:rsidR="00E13CD6" w:rsidRPr="00B02EE4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1E7BE" w14:textId="77777777" w:rsidR="00AC40A5" w:rsidRDefault="00AC40A5">
      <w:r>
        <w:separator/>
      </w:r>
    </w:p>
  </w:endnote>
  <w:endnote w:type="continuationSeparator" w:id="0">
    <w:p w14:paraId="58230F7A" w14:textId="77777777" w:rsidR="00AC40A5" w:rsidRDefault="00AC4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2A35A" w14:textId="77777777" w:rsidR="00AC40A5" w:rsidRDefault="00AC40A5">
      <w:r>
        <w:separator/>
      </w:r>
    </w:p>
  </w:footnote>
  <w:footnote w:type="continuationSeparator" w:id="0">
    <w:p w14:paraId="421E9388" w14:textId="77777777" w:rsidR="00AC40A5" w:rsidRDefault="00AC4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DE2009A"/>
    <w:multiLevelType w:val="hybridMultilevel"/>
    <w:tmpl w:val="69D206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1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2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19"/>
  </w:num>
  <w:num w:numId="3">
    <w:abstractNumId w:val="2"/>
  </w:num>
  <w:num w:numId="4">
    <w:abstractNumId w:val="5"/>
  </w:num>
  <w:num w:numId="5">
    <w:abstractNumId w:val="6"/>
  </w:num>
  <w:num w:numId="6">
    <w:abstractNumId w:val="16"/>
  </w:num>
  <w:num w:numId="7">
    <w:abstractNumId w:val="1"/>
  </w:num>
  <w:num w:numId="8">
    <w:abstractNumId w:val="3"/>
  </w:num>
  <w:num w:numId="9">
    <w:abstractNumId w:val="0"/>
  </w:num>
  <w:num w:numId="10">
    <w:abstractNumId w:val="12"/>
  </w:num>
  <w:num w:numId="11">
    <w:abstractNumId w:val="17"/>
  </w:num>
  <w:num w:numId="12">
    <w:abstractNumId w:val="9"/>
  </w:num>
  <w:num w:numId="13">
    <w:abstractNumId w:val="11"/>
  </w:num>
  <w:num w:numId="14">
    <w:abstractNumId w:val="10"/>
  </w:num>
  <w:num w:numId="15">
    <w:abstractNumId w:val="15"/>
  </w:num>
  <w:num w:numId="16">
    <w:abstractNumId w:val="20"/>
  </w:num>
  <w:num w:numId="17">
    <w:abstractNumId w:val="13"/>
  </w:num>
  <w:num w:numId="18">
    <w:abstractNumId w:val="14"/>
  </w:num>
  <w:num w:numId="19">
    <w:abstractNumId w:val="18"/>
  </w:num>
  <w:num w:numId="20">
    <w:abstractNumId w:val="8"/>
  </w:num>
  <w:num w:numId="2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7291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404E5"/>
    <w:rsid w:val="00141A2F"/>
    <w:rsid w:val="00142771"/>
    <w:rsid w:val="0014381C"/>
    <w:rsid w:val="00145505"/>
    <w:rsid w:val="00153528"/>
    <w:rsid w:val="001538E6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516C"/>
    <w:rsid w:val="00175AB9"/>
    <w:rsid w:val="00181060"/>
    <w:rsid w:val="00182304"/>
    <w:rsid w:val="0018379B"/>
    <w:rsid w:val="0018585B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C3A35"/>
    <w:rsid w:val="001C602C"/>
    <w:rsid w:val="001C67F1"/>
    <w:rsid w:val="001C7645"/>
    <w:rsid w:val="001C7C92"/>
    <w:rsid w:val="001D2640"/>
    <w:rsid w:val="001D2C84"/>
    <w:rsid w:val="001D37E0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69B"/>
    <w:rsid w:val="00214859"/>
    <w:rsid w:val="00214FBD"/>
    <w:rsid w:val="00221928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65E95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E62"/>
    <w:rsid w:val="003140D7"/>
    <w:rsid w:val="0031627B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39B3"/>
    <w:rsid w:val="004353A7"/>
    <w:rsid w:val="004361B4"/>
    <w:rsid w:val="00441C2A"/>
    <w:rsid w:val="004426D5"/>
    <w:rsid w:val="004430CF"/>
    <w:rsid w:val="00443CC6"/>
    <w:rsid w:val="00444225"/>
    <w:rsid w:val="00444D6C"/>
    <w:rsid w:val="00450EF8"/>
    <w:rsid w:val="004543ED"/>
    <w:rsid w:val="00454577"/>
    <w:rsid w:val="0046402B"/>
    <w:rsid w:val="004645B3"/>
    <w:rsid w:val="00465411"/>
    <w:rsid w:val="00465F13"/>
    <w:rsid w:val="0046699D"/>
    <w:rsid w:val="00475C6B"/>
    <w:rsid w:val="00475E6F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2E83"/>
    <w:rsid w:val="004E73B0"/>
    <w:rsid w:val="004E7764"/>
    <w:rsid w:val="004F2F68"/>
    <w:rsid w:val="004F6299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763E"/>
    <w:rsid w:val="00570EB9"/>
    <w:rsid w:val="005713B7"/>
    <w:rsid w:val="0057169E"/>
    <w:rsid w:val="00576F44"/>
    <w:rsid w:val="00577A52"/>
    <w:rsid w:val="005811BC"/>
    <w:rsid w:val="00582948"/>
    <w:rsid w:val="00586C80"/>
    <w:rsid w:val="0058747E"/>
    <w:rsid w:val="005910B3"/>
    <w:rsid w:val="00592669"/>
    <w:rsid w:val="005927CF"/>
    <w:rsid w:val="00592DE5"/>
    <w:rsid w:val="005939A4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6516"/>
    <w:rsid w:val="005C667E"/>
    <w:rsid w:val="005C6847"/>
    <w:rsid w:val="005C7544"/>
    <w:rsid w:val="005D1F5B"/>
    <w:rsid w:val="005D2248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646C"/>
    <w:rsid w:val="00621109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2093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642"/>
    <w:rsid w:val="006856E5"/>
    <w:rsid w:val="00685767"/>
    <w:rsid w:val="00685A73"/>
    <w:rsid w:val="00686ABB"/>
    <w:rsid w:val="00686FBC"/>
    <w:rsid w:val="0069720F"/>
    <w:rsid w:val="00697215"/>
    <w:rsid w:val="006A019B"/>
    <w:rsid w:val="006A0BA1"/>
    <w:rsid w:val="006A18D4"/>
    <w:rsid w:val="006A3282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21D1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2669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689A"/>
    <w:rsid w:val="0081759A"/>
    <w:rsid w:val="008240E1"/>
    <w:rsid w:val="0082583A"/>
    <w:rsid w:val="00826532"/>
    <w:rsid w:val="0083389F"/>
    <w:rsid w:val="00835C3C"/>
    <w:rsid w:val="00836C44"/>
    <w:rsid w:val="00842B4F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24BF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68D"/>
    <w:rsid w:val="00933D69"/>
    <w:rsid w:val="00934967"/>
    <w:rsid w:val="00934D4B"/>
    <w:rsid w:val="00935866"/>
    <w:rsid w:val="0094000B"/>
    <w:rsid w:val="009403DA"/>
    <w:rsid w:val="0094067C"/>
    <w:rsid w:val="00944AB4"/>
    <w:rsid w:val="00950436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875A0"/>
    <w:rsid w:val="009928D4"/>
    <w:rsid w:val="00996AC8"/>
    <w:rsid w:val="009A2280"/>
    <w:rsid w:val="009A2C6C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5870"/>
    <w:rsid w:val="009F5BE4"/>
    <w:rsid w:val="009F5EAC"/>
    <w:rsid w:val="00A0535F"/>
    <w:rsid w:val="00A05FD2"/>
    <w:rsid w:val="00A126D8"/>
    <w:rsid w:val="00A13DB4"/>
    <w:rsid w:val="00A17573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B3F85"/>
    <w:rsid w:val="00AB6BC1"/>
    <w:rsid w:val="00AC0B13"/>
    <w:rsid w:val="00AC0B5C"/>
    <w:rsid w:val="00AC0EFF"/>
    <w:rsid w:val="00AC12AF"/>
    <w:rsid w:val="00AC2665"/>
    <w:rsid w:val="00AC2EEB"/>
    <w:rsid w:val="00AC40A5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EE4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1F53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223F"/>
    <w:rsid w:val="00D032B1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A025E"/>
    <w:rsid w:val="00DA518A"/>
    <w:rsid w:val="00DA706D"/>
    <w:rsid w:val="00DA7765"/>
    <w:rsid w:val="00DB0073"/>
    <w:rsid w:val="00DB0BA5"/>
    <w:rsid w:val="00DB49BA"/>
    <w:rsid w:val="00DB61F9"/>
    <w:rsid w:val="00DC39A9"/>
    <w:rsid w:val="00DC53E7"/>
    <w:rsid w:val="00DC756C"/>
    <w:rsid w:val="00DD0C2C"/>
    <w:rsid w:val="00DD44BA"/>
    <w:rsid w:val="00DD576B"/>
    <w:rsid w:val="00DE22B1"/>
    <w:rsid w:val="00DE283D"/>
    <w:rsid w:val="00DE60C1"/>
    <w:rsid w:val="00DE67FC"/>
    <w:rsid w:val="00DE7041"/>
    <w:rsid w:val="00DF0815"/>
    <w:rsid w:val="00DF30DF"/>
    <w:rsid w:val="00DF527C"/>
    <w:rsid w:val="00E02397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7090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5C57"/>
    <w:rsid w:val="00E818EE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7140"/>
    <w:rsid w:val="00EC722B"/>
    <w:rsid w:val="00ED04B9"/>
    <w:rsid w:val="00ED0555"/>
    <w:rsid w:val="00ED0E1A"/>
    <w:rsid w:val="00ED3907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6806"/>
    <w:rsid w:val="00F06C54"/>
    <w:rsid w:val="00F072D8"/>
    <w:rsid w:val="00F10825"/>
    <w:rsid w:val="00F15C84"/>
    <w:rsid w:val="00F16188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721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F05AA"/>
    <w:rsid w:val="00FF250F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12">
    <w:name w:val="Plain Table 1"/>
    <w:basedOn w:val="a1"/>
    <w:uiPriority w:val="41"/>
    <w:rsid w:val="00ED0E1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994</TotalTime>
  <Pages>2</Pages>
  <Words>767</Words>
  <Characters>4376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5133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洋介 佐野</cp:lastModifiedBy>
  <cp:revision>15</cp:revision>
  <cp:lastPrinted>2017-04-28T05:57:00Z</cp:lastPrinted>
  <dcterms:created xsi:type="dcterms:W3CDTF">2019-08-15T06:38:00Z</dcterms:created>
  <dcterms:modified xsi:type="dcterms:W3CDTF">2019-08-16T18:35:00Z</dcterms:modified>
</cp:coreProperties>
</file>